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EAC5" w14:textId="77777777" w:rsidR="008C10EE" w:rsidRDefault="008C10EE" w:rsidP="00720BF2">
      <w:pPr>
        <w:jc w:val="center"/>
        <w:rPr>
          <w:rFonts w:ascii="Book Antiqua" w:hAnsi="Book Antiqua"/>
          <w:b/>
          <w:bCs/>
          <w:sz w:val="24"/>
          <w:szCs w:val="24"/>
          <w:u w:val="single"/>
        </w:rPr>
      </w:pPr>
    </w:p>
    <w:p w14:paraId="4877C0C6" w14:textId="36FAE259" w:rsidR="00720BF2" w:rsidRPr="00720BF2" w:rsidRDefault="00110BAC" w:rsidP="00720BF2">
      <w:pPr>
        <w:jc w:val="center"/>
        <w:rPr>
          <w:rFonts w:ascii="Book Antiqua" w:hAnsi="Book Antiqua"/>
          <w:b/>
          <w:bCs/>
          <w:sz w:val="24"/>
          <w:szCs w:val="24"/>
          <w:u w:val="single"/>
        </w:rPr>
      </w:pPr>
      <w:r w:rsidRPr="006055AD">
        <w:rPr>
          <w:rFonts w:ascii="Book Antiqua" w:hAnsi="Book Antiqua"/>
          <w:b/>
          <w:bCs/>
          <w:sz w:val="24"/>
          <w:szCs w:val="24"/>
          <w:u w:val="single"/>
        </w:rPr>
        <w:t>Cancell</w:t>
      </w:r>
      <w:r w:rsidR="006055AD" w:rsidRPr="006055AD">
        <w:rPr>
          <w:rFonts w:ascii="Book Antiqua" w:hAnsi="Book Antiqua"/>
          <w:b/>
          <w:bCs/>
          <w:sz w:val="24"/>
          <w:szCs w:val="24"/>
          <w:u w:val="single"/>
        </w:rPr>
        <w:t>ation Notice of</w:t>
      </w:r>
      <w:r w:rsidR="00785BD4" w:rsidRPr="006055AD">
        <w:rPr>
          <w:rFonts w:ascii="Book Antiqua" w:hAnsi="Book Antiqua"/>
          <w:b/>
          <w:bCs/>
          <w:sz w:val="24"/>
          <w:szCs w:val="24"/>
          <w:u w:val="single"/>
        </w:rPr>
        <w:t xml:space="preserve"> </w:t>
      </w:r>
      <w:r w:rsidR="00C21DA6" w:rsidRPr="006055AD">
        <w:rPr>
          <w:rFonts w:ascii="Book Antiqua" w:hAnsi="Book Antiqua"/>
          <w:b/>
          <w:bCs/>
          <w:sz w:val="24"/>
          <w:szCs w:val="24"/>
          <w:u w:val="single"/>
        </w:rPr>
        <w:t>5th</w:t>
      </w:r>
      <w:r w:rsidR="00785BD4" w:rsidRPr="006055AD">
        <w:rPr>
          <w:rFonts w:ascii="Book Antiqua" w:hAnsi="Book Antiqua"/>
          <w:b/>
          <w:bCs/>
          <w:sz w:val="24"/>
          <w:szCs w:val="24"/>
          <w:u w:val="single"/>
        </w:rPr>
        <w:t xml:space="preserve"> Survey Work</w:t>
      </w:r>
    </w:p>
    <w:p w14:paraId="0608DB92" w14:textId="77777777" w:rsidR="00071BEF" w:rsidRDefault="00071BEF">
      <w:pPr>
        <w:rPr>
          <w:rFonts w:ascii="Book Antiqua" w:hAnsi="Book Antiqua"/>
          <w:sz w:val="24"/>
          <w:szCs w:val="24"/>
        </w:rPr>
      </w:pPr>
    </w:p>
    <w:p w14:paraId="68564659" w14:textId="77777777" w:rsidR="00A43FC3" w:rsidRDefault="00A43FC3">
      <w:pP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460"/>
      </w:tblGrid>
      <w:tr w:rsidR="00F15C71" w14:paraId="7BC5F23E" w14:textId="77777777" w:rsidTr="00F15C71">
        <w:tc>
          <w:tcPr>
            <w:tcW w:w="1158" w:type="dxa"/>
          </w:tcPr>
          <w:p w14:paraId="4AA9C530" w14:textId="4AB97158" w:rsidR="00F15C71" w:rsidRDefault="00F15C71" w:rsidP="00F15C71">
            <w:pPr>
              <w:rPr>
                <w:rFonts w:ascii="Book Antiqua" w:hAnsi="Book Antiqua"/>
                <w:sz w:val="24"/>
                <w:szCs w:val="24"/>
              </w:rPr>
            </w:pPr>
            <w:r>
              <w:rPr>
                <w:rFonts w:ascii="Book Antiqua" w:hAnsi="Book Antiqua"/>
                <w:b/>
                <w:bCs/>
                <w:sz w:val="24"/>
                <w:szCs w:val="24"/>
              </w:rPr>
              <w:t>Package:</w:t>
            </w:r>
          </w:p>
          <w:p w14:paraId="75248B2B" w14:textId="77777777" w:rsidR="00F15C71" w:rsidRDefault="00F15C71">
            <w:pPr>
              <w:rPr>
                <w:rFonts w:ascii="Book Antiqua" w:hAnsi="Book Antiqua"/>
                <w:sz w:val="24"/>
                <w:szCs w:val="24"/>
              </w:rPr>
            </w:pPr>
          </w:p>
        </w:tc>
        <w:tc>
          <w:tcPr>
            <w:tcW w:w="8462" w:type="dxa"/>
          </w:tcPr>
          <w:p w14:paraId="15FBE67C" w14:textId="5D391F60" w:rsidR="00F15C71" w:rsidRDefault="004B6A41" w:rsidP="00F15C71">
            <w:pPr>
              <w:jc w:val="both"/>
              <w:rPr>
                <w:rFonts w:ascii="Book Antiqua" w:hAnsi="Book Antiqua"/>
                <w:sz w:val="24"/>
                <w:szCs w:val="24"/>
              </w:rPr>
            </w:pPr>
            <w:r w:rsidRPr="004B6A41">
              <w:rPr>
                <w:rFonts w:ascii="Book Antiqua" w:hAnsi="Book Antiqua"/>
                <w:sz w:val="24"/>
                <w:szCs w:val="24"/>
              </w:rPr>
              <w:t>survey works using modern survey techniques for route alignment of transmission line, identification of substation sites and preparation of report for Transmission scheme for drawal of 4000 MW power by MPSEZ Utilities Limited (MUL)</w:t>
            </w:r>
            <w:r>
              <w:rPr>
                <w:rFonts w:ascii="Book Antiqua" w:hAnsi="Book Antiqua"/>
                <w:sz w:val="24"/>
                <w:szCs w:val="24"/>
              </w:rPr>
              <w:t>.</w:t>
            </w:r>
          </w:p>
        </w:tc>
      </w:tr>
    </w:tbl>
    <w:p w14:paraId="76F31CB5" w14:textId="77777777" w:rsidR="00F15C71" w:rsidRDefault="00F15C71">
      <w:pPr>
        <w:rPr>
          <w:rFonts w:ascii="Book Antiqua" w:hAnsi="Book Antiqua"/>
          <w:sz w:val="24"/>
          <w:szCs w:val="24"/>
        </w:rPr>
      </w:pPr>
    </w:p>
    <w:p w14:paraId="298E75D1" w14:textId="77777777" w:rsidR="00F15C71" w:rsidRDefault="00F15C71">
      <w:pPr>
        <w:rPr>
          <w:rFonts w:ascii="Book Antiqua" w:hAnsi="Book Antiqua"/>
          <w:sz w:val="24"/>
          <w:szCs w:val="24"/>
        </w:rPr>
      </w:pPr>
    </w:p>
    <w:tbl>
      <w:tblPr>
        <w:tblStyle w:val="TableGrid"/>
        <w:tblW w:w="9509" w:type="dxa"/>
        <w:tblInd w:w="137" w:type="dxa"/>
        <w:tblLook w:val="04A0" w:firstRow="1" w:lastRow="0" w:firstColumn="1" w:lastColumn="0" w:noHBand="0" w:noVBand="1"/>
      </w:tblPr>
      <w:tblGrid>
        <w:gridCol w:w="1559"/>
        <w:gridCol w:w="2835"/>
        <w:gridCol w:w="2164"/>
        <w:gridCol w:w="1313"/>
        <w:gridCol w:w="1638"/>
      </w:tblGrid>
      <w:tr w:rsidR="00A43FC3" w:rsidRPr="00176C18" w14:paraId="4C701286" w14:textId="77777777" w:rsidTr="009A4CD7">
        <w:trPr>
          <w:trHeight w:val="1159"/>
        </w:trPr>
        <w:tc>
          <w:tcPr>
            <w:tcW w:w="1559" w:type="dxa"/>
          </w:tcPr>
          <w:p w14:paraId="29DD042D" w14:textId="336C5EB8" w:rsidR="00F15C71" w:rsidRPr="00176C18" w:rsidRDefault="00F15C71" w:rsidP="00A43FC3">
            <w:pPr>
              <w:jc w:val="center"/>
              <w:rPr>
                <w:rFonts w:ascii="Book Antiqua" w:hAnsi="Book Antiqua"/>
                <w:b/>
                <w:bCs/>
                <w:sz w:val="24"/>
                <w:szCs w:val="24"/>
              </w:rPr>
            </w:pPr>
            <w:r w:rsidRPr="00176C18">
              <w:rPr>
                <w:rFonts w:ascii="Book Antiqua" w:hAnsi="Book Antiqua"/>
                <w:b/>
                <w:bCs/>
                <w:sz w:val="24"/>
                <w:szCs w:val="24"/>
              </w:rPr>
              <w:t xml:space="preserve">Name </w:t>
            </w:r>
            <w:r w:rsidR="00AE6BF0">
              <w:rPr>
                <w:rFonts w:ascii="Book Antiqua" w:hAnsi="Book Antiqua"/>
                <w:b/>
                <w:bCs/>
                <w:sz w:val="24"/>
                <w:szCs w:val="24"/>
              </w:rPr>
              <w:t>Survey Agency</w:t>
            </w:r>
          </w:p>
        </w:tc>
        <w:tc>
          <w:tcPr>
            <w:tcW w:w="2835" w:type="dxa"/>
          </w:tcPr>
          <w:p w14:paraId="797DD5EC" w14:textId="0D072750"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Address</w:t>
            </w:r>
          </w:p>
        </w:tc>
        <w:tc>
          <w:tcPr>
            <w:tcW w:w="2164" w:type="dxa"/>
          </w:tcPr>
          <w:p w14:paraId="1EF5F184" w14:textId="432A1366" w:rsidR="00F15C71" w:rsidRPr="00176C18" w:rsidRDefault="009A4CD7" w:rsidP="00F15C71">
            <w:pPr>
              <w:jc w:val="center"/>
              <w:rPr>
                <w:rFonts w:ascii="Book Antiqua" w:hAnsi="Book Antiqua"/>
                <w:b/>
                <w:bCs/>
                <w:sz w:val="24"/>
                <w:szCs w:val="24"/>
              </w:rPr>
            </w:pPr>
            <w:r>
              <w:rPr>
                <w:rFonts w:ascii="Book Antiqua" w:hAnsi="Book Antiqua"/>
                <w:b/>
                <w:bCs/>
                <w:sz w:val="24"/>
                <w:szCs w:val="24"/>
              </w:rPr>
              <w:t>L</w:t>
            </w:r>
            <w:r w:rsidR="00A43FC3" w:rsidRPr="00176C18">
              <w:rPr>
                <w:rFonts w:ascii="Book Antiqua" w:hAnsi="Book Antiqua"/>
                <w:b/>
                <w:bCs/>
                <w:sz w:val="24"/>
                <w:szCs w:val="24"/>
              </w:rPr>
              <w:t>o</w:t>
            </w:r>
            <w:r w:rsidR="00F15C71" w:rsidRPr="00176C18">
              <w:rPr>
                <w:rFonts w:ascii="Book Antiqua" w:hAnsi="Book Antiqua"/>
                <w:b/>
                <w:bCs/>
                <w:sz w:val="24"/>
                <w:szCs w:val="24"/>
              </w:rPr>
              <w:t>A No.</w:t>
            </w:r>
          </w:p>
        </w:tc>
        <w:tc>
          <w:tcPr>
            <w:tcW w:w="1313" w:type="dxa"/>
          </w:tcPr>
          <w:p w14:paraId="5C3F0D26" w14:textId="77777777"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Date of Award</w:t>
            </w:r>
          </w:p>
        </w:tc>
        <w:tc>
          <w:tcPr>
            <w:tcW w:w="1638" w:type="dxa"/>
          </w:tcPr>
          <w:p w14:paraId="5FF1705A" w14:textId="0939F03F"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Value of Contract (INR), Excl GST</w:t>
            </w:r>
          </w:p>
        </w:tc>
      </w:tr>
      <w:tr w:rsidR="00A43FC3" w:rsidRPr="00176C18" w14:paraId="3D84A586" w14:textId="77777777" w:rsidTr="009A4CD7">
        <w:trPr>
          <w:trHeight w:val="1431"/>
        </w:trPr>
        <w:tc>
          <w:tcPr>
            <w:tcW w:w="1559" w:type="dxa"/>
          </w:tcPr>
          <w:p w14:paraId="2C917594" w14:textId="17EF291F" w:rsidR="00F15C71" w:rsidRPr="00334DE0" w:rsidRDefault="00AE6BF0" w:rsidP="00F15C71">
            <w:pPr>
              <w:jc w:val="both"/>
              <w:rPr>
                <w:rFonts w:ascii="Book Antiqua" w:hAnsi="Book Antiqua"/>
                <w:sz w:val="24"/>
                <w:szCs w:val="24"/>
              </w:rPr>
            </w:pPr>
            <w:r w:rsidRPr="00334DE0">
              <w:rPr>
                <w:rFonts w:ascii="Book Antiqua" w:hAnsi="Book Antiqua"/>
                <w:sz w:val="24"/>
                <w:szCs w:val="24"/>
              </w:rPr>
              <w:t>M/s. MNEC Consultants Pvt Ltd</w:t>
            </w:r>
          </w:p>
        </w:tc>
        <w:tc>
          <w:tcPr>
            <w:tcW w:w="2835" w:type="dxa"/>
          </w:tcPr>
          <w:p w14:paraId="5F41A77C" w14:textId="5A5A28DE" w:rsidR="00F15C71" w:rsidRPr="00334DE0" w:rsidRDefault="009A4CD7" w:rsidP="009A4CD7">
            <w:pPr>
              <w:rPr>
                <w:rFonts w:ascii="Book Antiqua" w:hAnsi="Book Antiqua" w:cs="Arial"/>
                <w:sz w:val="24"/>
                <w:szCs w:val="24"/>
              </w:rPr>
            </w:pPr>
            <w:r w:rsidRPr="00334DE0">
              <w:rPr>
                <w:rFonts w:ascii="Book Antiqua" w:hAnsi="Book Antiqua"/>
                <w:sz w:val="24"/>
                <w:szCs w:val="24"/>
              </w:rPr>
              <w:t>First Floor, Pratibha Sankul, Besides Alankar Cinema, Dharampeth, Nagpur – 440010, Maharashtra, India</w:t>
            </w:r>
          </w:p>
        </w:tc>
        <w:tc>
          <w:tcPr>
            <w:tcW w:w="2164" w:type="dxa"/>
          </w:tcPr>
          <w:p w14:paraId="63588B26" w14:textId="0A8F3D4D" w:rsidR="00F15C71" w:rsidRPr="00334DE0" w:rsidRDefault="0020560B" w:rsidP="0020560B">
            <w:pPr>
              <w:rPr>
                <w:rFonts w:ascii="Book Antiqua" w:hAnsi="Book Antiqua"/>
                <w:sz w:val="24"/>
                <w:szCs w:val="24"/>
              </w:rPr>
            </w:pPr>
            <w:r w:rsidRPr="00334DE0">
              <w:rPr>
                <w:rFonts w:ascii="Book Antiqua" w:hAnsi="Book Antiqua" w:cs="Arial"/>
                <w:sz w:val="24"/>
                <w:szCs w:val="24"/>
              </w:rPr>
              <w:t>CTUIL/Survey Work/LoA/2022-23/</w:t>
            </w:r>
            <w:r w:rsidR="008B7AD5">
              <w:rPr>
                <w:rFonts w:ascii="Book Antiqua" w:hAnsi="Book Antiqua" w:cs="Arial"/>
                <w:sz w:val="24"/>
                <w:szCs w:val="24"/>
              </w:rPr>
              <w:t>11</w:t>
            </w:r>
            <w:r w:rsidRPr="00334DE0">
              <w:rPr>
                <w:rFonts w:ascii="Book Antiqua" w:hAnsi="Book Antiqua" w:cs="Arial"/>
                <w:sz w:val="24"/>
                <w:szCs w:val="24"/>
              </w:rPr>
              <w:tab/>
            </w:r>
          </w:p>
        </w:tc>
        <w:tc>
          <w:tcPr>
            <w:tcW w:w="1313" w:type="dxa"/>
          </w:tcPr>
          <w:p w14:paraId="56DF2F95" w14:textId="6AF5AB0D" w:rsidR="00F15C71" w:rsidRPr="00334DE0" w:rsidRDefault="0072118C" w:rsidP="00F15C71">
            <w:pPr>
              <w:jc w:val="center"/>
              <w:rPr>
                <w:rFonts w:ascii="Book Antiqua" w:hAnsi="Book Antiqua"/>
                <w:sz w:val="24"/>
                <w:szCs w:val="24"/>
              </w:rPr>
            </w:pPr>
            <w:r>
              <w:rPr>
                <w:rFonts w:ascii="Book Antiqua" w:hAnsi="Book Antiqua"/>
                <w:sz w:val="24"/>
                <w:szCs w:val="24"/>
              </w:rPr>
              <w:t>21</w:t>
            </w:r>
            <w:r w:rsidR="00856A6C" w:rsidRPr="00334DE0">
              <w:rPr>
                <w:rFonts w:ascii="Book Antiqua" w:hAnsi="Book Antiqua"/>
                <w:sz w:val="24"/>
                <w:szCs w:val="24"/>
              </w:rPr>
              <w:t>.0</w:t>
            </w:r>
            <w:r>
              <w:rPr>
                <w:rFonts w:ascii="Book Antiqua" w:hAnsi="Book Antiqua"/>
                <w:sz w:val="24"/>
                <w:szCs w:val="24"/>
              </w:rPr>
              <w:t>2</w:t>
            </w:r>
            <w:r w:rsidR="00856A6C" w:rsidRPr="00334DE0">
              <w:rPr>
                <w:rFonts w:ascii="Book Antiqua" w:hAnsi="Book Antiqua"/>
                <w:sz w:val="24"/>
                <w:szCs w:val="24"/>
              </w:rPr>
              <w:t>.</w:t>
            </w:r>
            <w:r w:rsidR="00F15C71" w:rsidRPr="00334DE0">
              <w:rPr>
                <w:rFonts w:ascii="Book Antiqua" w:hAnsi="Book Antiqua"/>
                <w:sz w:val="24"/>
                <w:szCs w:val="24"/>
              </w:rPr>
              <w:t>202</w:t>
            </w:r>
            <w:r>
              <w:rPr>
                <w:rFonts w:ascii="Book Antiqua" w:hAnsi="Book Antiqua"/>
                <w:sz w:val="24"/>
                <w:szCs w:val="24"/>
              </w:rPr>
              <w:t>3</w:t>
            </w:r>
          </w:p>
        </w:tc>
        <w:tc>
          <w:tcPr>
            <w:tcW w:w="1638" w:type="dxa"/>
          </w:tcPr>
          <w:p w14:paraId="4B314DDB" w14:textId="06D1A4E8" w:rsidR="00F15C71" w:rsidRPr="00334DE0" w:rsidRDefault="00894685" w:rsidP="00F15C71">
            <w:pPr>
              <w:jc w:val="center"/>
              <w:rPr>
                <w:rFonts w:ascii="Book Antiqua" w:hAnsi="Book Antiqua"/>
                <w:sz w:val="24"/>
                <w:szCs w:val="24"/>
              </w:rPr>
            </w:pPr>
            <w:r>
              <w:rPr>
                <w:rFonts w:ascii="Book Antiqua" w:hAnsi="Book Antiqua"/>
                <w:sz w:val="24"/>
                <w:szCs w:val="24"/>
              </w:rPr>
              <w:t>2</w:t>
            </w:r>
            <w:r w:rsidR="00334DE0" w:rsidRPr="00334DE0">
              <w:rPr>
                <w:rFonts w:ascii="Book Antiqua" w:hAnsi="Book Antiqua"/>
                <w:sz w:val="24"/>
                <w:szCs w:val="24"/>
              </w:rPr>
              <w:t>,</w:t>
            </w:r>
            <w:r>
              <w:rPr>
                <w:rFonts w:ascii="Book Antiqua" w:hAnsi="Book Antiqua"/>
                <w:sz w:val="24"/>
                <w:szCs w:val="24"/>
              </w:rPr>
              <w:t>5</w:t>
            </w:r>
            <w:r w:rsidR="00334DE0" w:rsidRPr="00334DE0">
              <w:rPr>
                <w:rFonts w:ascii="Book Antiqua" w:hAnsi="Book Antiqua"/>
                <w:sz w:val="24"/>
                <w:szCs w:val="24"/>
              </w:rPr>
              <w:t>5,000</w:t>
            </w:r>
            <w:r w:rsidR="00F15C71" w:rsidRPr="00334DE0">
              <w:rPr>
                <w:rFonts w:ascii="Book Antiqua" w:hAnsi="Book Antiqua"/>
                <w:sz w:val="24"/>
                <w:szCs w:val="24"/>
              </w:rPr>
              <w:t>/-</w:t>
            </w:r>
          </w:p>
        </w:tc>
      </w:tr>
    </w:tbl>
    <w:p w14:paraId="0771DFD6" w14:textId="77777777" w:rsidR="00071BEF" w:rsidRDefault="00071BEF">
      <w:pPr>
        <w:rPr>
          <w:rFonts w:ascii="Book Antiqua" w:hAnsi="Book Antiqua"/>
          <w:sz w:val="24"/>
          <w:szCs w:val="24"/>
        </w:rPr>
      </w:pPr>
    </w:p>
    <w:p w14:paraId="59FA61F0" w14:textId="32A47E2D" w:rsidR="00CE46C0" w:rsidRPr="005006EF" w:rsidRDefault="00CF3BF6">
      <w:pPr>
        <w:rPr>
          <w:rFonts w:ascii="Book Antiqua" w:hAnsi="Book Antiqua"/>
          <w:sz w:val="22"/>
          <w:szCs w:val="22"/>
        </w:rPr>
      </w:pPr>
      <w:r w:rsidRPr="005006EF">
        <w:rPr>
          <w:rFonts w:ascii="Book Antiqua" w:hAnsi="Book Antiqua"/>
          <w:sz w:val="22"/>
          <w:szCs w:val="22"/>
        </w:rPr>
        <w:t xml:space="preserve">As per the 12th NCT minutes of meeting dated 12.04.2023, NCT has decided to defer the above-mentioned scheme. In view thereof, the LoA awarded to </w:t>
      </w:r>
      <w:r w:rsidR="00C21DA6">
        <w:rPr>
          <w:rFonts w:ascii="Book Antiqua" w:hAnsi="Book Antiqua"/>
          <w:sz w:val="22"/>
          <w:szCs w:val="22"/>
        </w:rPr>
        <w:t>MNEC Consultant</w:t>
      </w:r>
      <w:r w:rsidR="007D1117">
        <w:rPr>
          <w:rFonts w:ascii="Book Antiqua" w:hAnsi="Book Antiqua"/>
          <w:sz w:val="22"/>
          <w:szCs w:val="22"/>
        </w:rPr>
        <w:t>s Pvt Ltd</w:t>
      </w:r>
      <w:r w:rsidRPr="005006EF">
        <w:rPr>
          <w:rFonts w:ascii="Book Antiqua" w:hAnsi="Book Antiqua"/>
          <w:sz w:val="22"/>
          <w:szCs w:val="22"/>
        </w:rPr>
        <w:t xml:space="preserve"> is hereby </w:t>
      </w:r>
      <w:r w:rsidR="007D1117" w:rsidRPr="005006EF">
        <w:rPr>
          <w:rFonts w:ascii="Book Antiqua" w:hAnsi="Book Antiqua"/>
          <w:sz w:val="22"/>
          <w:szCs w:val="22"/>
        </w:rPr>
        <w:t>cancelled</w:t>
      </w:r>
      <w:r w:rsidR="007D1117">
        <w:rPr>
          <w:rFonts w:ascii="Book Antiqua" w:hAnsi="Book Antiqua"/>
          <w:sz w:val="22"/>
          <w:szCs w:val="22"/>
        </w:rPr>
        <w:t>.</w:t>
      </w:r>
    </w:p>
    <w:p w14:paraId="35D8871B" w14:textId="77777777" w:rsidR="00A43FC3" w:rsidRDefault="00A43FC3" w:rsidP="00A43FC3">
      <w:pPr>
        <w:jc w:val="center"/>
        <w:rPr>
          <w:rFonts w:ascii="Book Antiqua" w:hAnsi="Book Antiqua"/>
          <w:sz w:val="24"/>
          <w:szCs w:val="24"/>
        </w:rPr>
      </w:pPr>
    </w:p>
    <w:p w14:paraId="6BB5D199" w14:textId="49ED7619" w:rsidR="00071BEF" w:rsidRPr="00720BF2" w:rsidRDefault="00A43FC3" w:rsidP="00A43FC3">
      <w:pPr>
        <w:jc w:val="center"/>
        <w:rPr>
          <w:rFonts w:ascii="Book Antiqua" w:hAnsi="Book Antiqua"/>
          <w:sz w:val="24"/>
          <w:szCs w:val="24"/>
        </w:rPr>
      </w:pPr>
      <w:r>
        <w:rPr>
          <w:rFonts w:ascii="Book Antiqua" w:hAnsi="Book Antiqua"/>
          <w:sz w:val="24"/>
          <w:szCs w:val="24"/>
        </w:rPr>
        <w:t>-------</w:t>
      </w:r>
    </w:p>
    <w:sectPr w:rsidR="00071BEF" w:rsidRPr="00720BF2" w:rsidSect="00EE40A9">
      <w:headerReference w:type="default" r:id="rId6"/>
      <w:pgSz w:w="11906" w:h="16838"/>
      <w:pgMar w:top="1440" w:right="83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CAEB" w14:textId="77777777" w:rsidR="00BD6C22" w:rsidRDefault="00BD6C22" w:rsidP="00720BF2">
      <w:r>
        <w:separator/>
      </w:r>
    </w:p>
  </w:endnote>
  <w:endnote w:type="continuationSeparator" w:id="0">
    <w:p w14:paraId="34918B1E" w14:textId="77777777" w:rsidR="00BD6C22" w:rsidRDefault="00BD6C22" w:rsidP="0072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0F3A" w14:textId="77777777" w:rsidR="00BD6C22" w:rsidRDefault="00BD6C22" w:rsidP="00720BF2">
      <w:r>
        <w:separator/>
      </w:r>
    </w:p>
  </w:footnote>
  <w:footnote w:type="continuationSeparator" w:id="0">
    <w:p w14:paraId="3AC342CE" w14:textId="77777777" w:rsidR="00BD6C22" w:rsidRDefault="00BD6C22" w:rsidP="0072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AA51" w14:textId="77777777" w:rsidR="00720BF2" w:rsidRPr="00011122" w:rsidRDefault="00720BF2" w:rsidP="00720BF2">
    <w:pPr>
      <w:pStyle w:val="HTMLPreformatted"/>
      <w:ind w:left="-142"/>
      <w:jc w:val="center"/>
      <w:rPr>
        <w:rFonts w:ascii="Book Antiqua" w:hAnsi="Book Antiqua" w:cs="Nirmala UI"/>
        <w:b/>
        <w:bCs/>
        <w:sz w:val="22"/>
        <w:szCs w:val="22"/>
        <w:cs/>
      </w:rPr>
    </w:pPr>
    <w:r w:rsidRPr="00011122">
      <w:rPr>
        <w:rFonts w:ascii="Book Antiqua" w:hAnsi="Book Antiqua" w:cs="Nirmala UI"/>
        <w:b/>
        <w:bCs/>
        <w:sz w:val="22"/>
        <w:szCs w:val="22"/>
        <w:cs/>
      </w:rPr>
      <w:t>सेंट्रल ट्रांसमिशन</w:t>
    </w:r>
    <w:r w:rsidRPr="00011122">
      <w:rPr>
        <w:rFonts w:ascii="Book Antiqua" w:hAnsi="Book Antiqua" w:cs="Nirmala UI"/>
        <w:b/>
        <w:bCs/>
        <w:sz w:val="22"/>
        <w:szCs w:val="22"/>
      </w:rPr>
      <w:t xml:space="preserve"> </w:t>
    </w:r>
    <w:r w:rsidRPr="00011122">
      <w:rPr>
        <w:rFonts w:ascii="Book Antiqua" w:hAnsi="Book Antiqua" w:cs="Nirmala UI"/>
        <w:b/>
        <w:bCs/>
        <w:sz w:val="22"/>
        <w:szCs w:val="22"/>
        <w:cs/>
      </w:rPr>
      <w:t>यूटिलिटी</w:t>
    </w:r>
    <w:r w:rsidRPr="00011122">
      <w:rPr>
        <w:rFonts w:ascii="Book Antiqua" w:hAnsi="Book Antiqua" w:cs="Times New Roman"/>
        <w:b/>
        <w:bCs/>
        <w:sz w:val="22"/>
        <w:szCs w:val="22"/>
      </w:rPr>
      <w:t xml:space="preserve"> </w:t>
    </w:r>
    <w:r w:rsidRPr="00011122">
      <w:rPr>
        <w:rFonts w:ascii="Book Antiqua" w:hAnsi="Book Antiqua" w:cs="Nirmala UI"/>
        <w:b/>
        <w:bCs/>
        <w:sz w:val="22"/>
        <w:szCs w:val="22"/>
        <w:cs/>
      </w:rPr>
      <w:t>ऑफ</w:t>
    </w:r>
    <w:r w:rsidRPr="00011122">
      <w:rPr>
        <w:rFonts w:ascii="Book Antiqua" w:hAnsi="Book Antiqua" w:cs="Times New Roman"/>
        <w:b/>
        <w:bCs/>
        <w:sz w:val="22"/>
        <w:szCs w:val="22"/>
        <w:cs/>
      </w:rPr>
      <w:t xml:space="preserve"> </w:t>
    </w:r>
    <w:r w:rsidRPr="00011122">
      <w:rPr>
        <w:rFonts w:ascii="Book Antiqua" w:hAnsi="Book Antiqua" w:cs="Nirmala UI"/>
        <w:b/>
        <w:bCs/>
        <w:sz w:val="22"/>
        <w:szCs w:val="22"/>
        <w:cs/>
      </w:rPr>
      <w:t>इंडिया</w:t>
    </w:r>
    <w:r w:rsidRPr="00011122">
      <w:rPr>
        <w:rFonts w:ascii="Book Antiqua" w:hAnsi="Book Antiqua" w:cs="Times New Roman"/>
        <w:b/>
        <w:bCs/>
        <w:sz w:val="22"/>
        <w:szCs w:val="22"/>
        <w:cs/>
      </w:rPr>
      <w:t xml:space="preserve"> </w:t>
    </w:r>
    <w:r w:rsidRPr="00011122">
      <w:rPr>
        <w:rFonts w:ascii="Book Antiqua" w:hAnsi="Book Antiqua" w:cs="Nirmala UI"/>
        <w:b/>
        <w:bCs/>
        <w:sz w:val="22"/>
        <w:szCs w:val="22"/>
        <w:cs/>
      </w:rPr>
      <w:t>लिमिटेड</w:t>
    </w:r>
  </w:p>
  <w:p w14:paraId="3BFEC64F" w14:textId="77777777" w:rsidR="00720BF2" w:rsidRPr="00011122" w:rsidRDefault="00720BF2" w:rsidP="00720BF2">
    <w:pPr>
      <w:pStyle w:val="HTMLPreformatted"/>
      <w:jc w:val="center"/>
      <w:rPr>
        <w:rFonts w:ascii="Book Antiqua" w:hAnsi="Book Antiqua" w:cs="Arial"/>
        <w:b/>
        <w:bCs/>
        <w:sz w:val="22"/>
        <w:szCs w:val="22"/>
      </w:rPr>
    </w:pPr>
    <w:r w:rsidRPr="00011122">
      <w:rPr>
        <w:rFonts w:ascii="Book Antiqua" w:hAnsi="Book Antiqua" w:cs="Arial"/>
        <w:sz w:val="22"/>
        <w:szCs w:val="22"/>
      </w:rPr>
      <w:t>CENTRAL TRANSMISSION UTILITY OF INDIA LIMITED</w:t>
    </w:r>
  </w:p>
  <w:p w14:paraId="380A9938" w14:textId="77777777" w:rsidR="00720BF2" w:rsidRPr="00011122" w:rsidRDefault="00720BF2" w:rsidP="00720BF2">
    <w:pPr>
      <w:jc w:val="center"/>
      <w:rPr>
        <w:rFonts w:ascii="Book Antiqua" w:hAnsi="Book Antiqua" w:cs="Arial"/>
        <w:b/>
        <w:bCs/>
        <w:sz w:val="16"/>
        <w:szCs w:val="16"/>
      </w:rPr>
    </w:pPr>
    <w:r w:rsidRPr="00011122">
      <w:rPr>
        <w:rFonts w:ascii="Book Antiqua" w:hAnsi="Book Antiqua" w:cs="Arial"/>
        <w:b/>
        <w:bCs/>
        <w:sz w:val="16"/>
        <w:szCs w:val="16"/>
      </w:rPr>
      <w:t>(Wholly Owned Subsidiary of Power Grid Corporation of India Limited)</w:t>
    </w:r>
  </w:p>
  <w:p w14:paraId="09A4CEFE" w14:textId="77777777" w:rsidR="00720BF2" w:rsidRDefault="00720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F2"/>
    <w:rsid w:val="00071BEF"/>
    <w:rsid w:val="000C46CE"/>
    <w:rsid w:val="00110BAC"/>
    <w:rsid w:val="001167A8"/>
    <w:rsid w:val="001458FB"/>
    <w:rsid w:val="00176C18"/>
    <w:rsid w:val="001F2BA3"/>
    <w:rsid w:val="0020560B"/>
    <w:rsid w:val="00264A57"/>
    <w:rsid w:val="00291D43"/>
    <w:rsid w:val="002A7181"/>
    <w:rsid w:val="00322DE2"/>
    <w:rsid w:val="00334DE0"/>
    <w:rsid w:val="003D38D6"/>
    <w:rsid w:val="003F020E"/>
    <w:rsid w:val="00407792"/>
    <w:rsid w:val="0047489D"/>
    <w:rsid w:val="004B6A41"/>
    <w:rsid w:val="005006EF"/>
    <w:rsid w:val="00545B88"/>
    <w:rsid w:val="005814BF"/>
    <w:rsid w:val="00582265"/>
    <w:rsid w:val="005C6345"/>
    <w:rsid w:val="005F4A12"/>
    <w:rsid w:val="006055AD"/>
    <w:rsid w:val="00625FF4"/>
    <w:rsid w:val="00644501"/>
    <w:rsid w:val="00646E26"/>
    <w:rsid w:val="00650B70"/>
    <w:rsid w:val="00651F59"/>
    <w:rsid w:val="006D745F"/>
    <w:rsid w:val="007025E6"/>
    <w:rsid w:val="00720BF2"/>
    <w:rsid w:val="0072118C"/>
    <w:rsid w:val="00785BD4"/>
    <w:rsid w:val="007C29DC"/>
    <w:rsid w:val="007D1117"/>
    <w:rsid w:val="0082147C"/>
    <w:rsid w:val="00856A6C"/>
    <w:rsid w:val="00871E3C"/>
    <w:rsid w:val="008910B9"/>
    <w:rsid w:val="00894685"/>
    <w:rsid w:val="008B7AD5"/>
    <w:rsid w:val="008C10EE"/>
    <w:rsid w:val="008F3025"/>
    <w:rsid w:val="00906395"/>
    <w:rsid w:val="00926026"/>
    <w:rsid w:val="009A4CD7"/>
    <w:rsid w:val="00A27FC3"/>
    <w:rsid w:val="00A43FC3"/>
    <w:rsid w:val="00A75709"/>
    <w:rsid w:val="00AA4A00"/>
    <w:rsid w:val="00AA6084"/>
    <w:rsid w:val="00AE6BF0"/>
    <w:rsid w:val="00B94B66"/>
    <w:rsid w:val="00BD6C22"/>
    <w:rsid w:val="00BF26E3"/>
    <w:rsid w:val="00C13452"/>
    <w:rsid w:val="00C21DA6"/>
    <w:rsid w:val="00C8537A"/>
    <w:rsid w:val="00C8635D"/>
    <w:rsid w:val="00CE46C0"/>
    <w:rsid w:val="00CF3BF6"/>
    <w:rsid w:val="00CF733B"/>
    <w:rsid w:val="00E658ED"/>
    <w:rsid w:val="00EC16A9"/>
    <w:rsid w:val="00EE40A9"/>
    <w:rsid w:val="00F15C71"/>
    <w:rsid w:val="00FD41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8468"/>
  <w15:chartTrackingRefBased/>
  <w15:docId w15:val="{E258F443-2C38-424B-89DE-C1F56BD6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BF2"/>
    <w:pPr>
      <w:spacing w:after="0" w:line="240" w:lineRule="auto"/>
    </w:pPr>
    <w:rPr>
      <w:rFonts w:ascii="Times New Roman" w:eastAsia="Times New Roman" w:hAnsi="Times New Roman" w:cs="Times New Roman"/>
      <w:sz w:val="20"/>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BF2"/>
    <w:pPr>
      <w:tabs>
        <w:tab w:val="center" w:pos="4513"/>
        <w:tab w:val="right" w:pos="9026"/>
      </w:tabs>
    </w:pPr>
  </w:style>
  <w:style w:type="character" w:customStyle="1" w:styleId="HeaderChar">
    <w:name w:val="Header Char"/>
    <w:basedOn w:val="DefaultParagraphFont"/>
    <w:link w:val="Header"/>
    <w:uiPriority w:val="99"/>
    <w:rsid w:val="00720BF2"/>
    <w:rPr>
      <w:rFonts w:ascii="Times New Roman" w:eastAsia="Times New Roman" w:hAnsi="Times New Roman" w:cs="Times New Roman"/>
      <w:sz w:val="20"/>
      <w:lang w:val="en-AU" w:bidi="ar-SA"/>
    </w:rPr>
  </w:style>
  <w:style w:type="paragraph" w:styleId="Footer">
    <w:name w:val="footer"/>
    <w:basedOn w:val="Normal"/>
    <w:link w:val="FooterChar"/>
    <w:uiPriority w:val="99"/>
    <w:unhideWhenUsed/>
    <w:rsid w:val="00720BF2"/>
    <w:pPr>
      <w:tabs>
        <w:tab w:val="center" w:pos="4513"/>
        <w:tab w:val="right" w:pos="9026"/>
      </w:tabs>
    </w:pPr>
  </w:style>
  <w:style w:type="character" w:customStyle="1" w:styleId="FooterChar">
    <w:name w:val="Footer Char"/>
    <w:basedOn w:val="DefaultParagraphFont"/>
    <w:link w:val="Footer"/>
    <w:uiPriority w:val="99"/>
    <w:rsid w:val="00720BF2"/>
    <w:rPr>
      <w:rFonts w:ascii="Times New Roman" w:eastAsia="Times New Roman" w:hAnsi="Times New Roman" w:cs="Times New Roman"/>
      <w:sz w:val="20"/>
      <w:lang w:val="en-AU" w:bidi="ar-SA"/>
    </w:rPr>
  </w:style>
  <w:style w:type="paragraph" w:styleId="HTMLPreformatted">
    <w:name w:val="HTML Preformatted"/>
    <w:basedOn w:val="Normal"/>
    <w:link w:val="HTMLPreformattedChar"/>
    <w:uiPriority w:val="99"/>
    <w:unhideWhenUsed/>
    <w:rsid w:val="0072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u w:color="000000"/>
      <w:lang w:val="en-IN" w:eastAsia="en-IN" w:bidi="hi-IN"/>
    </w:rPr>
  </w:style>
  <w:style w:type="character" w:customStyle="1" w:styleId="HTMLPreformattedChar">
    <w:name w:val="HTML Preformatted Char"/>
    <w:basedOn w:val="DefaultParagraphFont"/>
    <w:link w:val="HTMLPreformatted"/>
    <w:uiPriority w:val="99"/>
    <w:rsid w:val="00720BF2"/>
    <w:rPr>
      <w:rFonts w:ascii="Courier New" w:eastAsia="Times New Roman" w:hAnsi="Courier New" w:cs="Courier New"/>
      <w:sz w:val="20"/>
      <w:u w:color="000000"/>
      <w:lang w:val="en-IN" w:eastAsia="en-IN"/>
    </w:rPr>
  </w:style>
  <w:style w:type="table" w:styleId="TableGrid">
    <w:name w:val="Table Grid"/>
    <w:basedOn w:val="TableNormal"/>
    <w:uiPriority w:val="39"/>
    <w:rsid w:val="0007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Virendra . {Virendra}</dc:creator>
  <cp:keywords/>
  <dc:description/>
  <cp:lastModifiedBy>Mool Chand Khichar {}</cp:lastModifiedBy>
  <cp:revision>26</cp:revision>
  <cp:lastPrinted>2023-06-30T05:46:00Z</cp:lastPrinted>
  <dcterms:created xsi:type="dcterms:W3CDTF">2023-06-30T05:46:00Z</dcterms:created>
  <dcterms:modified xsi:type="dcterms:W3CDTF">2023-11-07T05:27:00Z</dcterms:modified>
</cp:coreProperties>
</file>